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MiddleSchool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Sixth Grade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7260"/>
        <w:gridCol w:w="2475"/>
        <w:gridCol w:w="2115"/>
        <w:tblGridChange w:id="0">
          <w:tblGrid>
            <w:gridCol w:w="1110"/>
            <w:gridCol w:w="7260"/>
            <w:gridCol w:w="2475"/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1.1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Analyze factors that impact self-formation,  including;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FCS-MS 1.1.1 Standards and ethics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FCS-MS 1.1.2 Goals, priorities,values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FCS-MS 1.1.3 Aptitudes, abilities,interests, motivation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FCS-MS 1.1.4 Roles, responsibilities,and life events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FCS-MS 1.1.6 Behavior, etiquette, and personal appear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Transparencies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 Playing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  <w:r w:rsidDel="00000000" w:rsidR="00000000" w:rsidRPr="00000000">
              <w:rPr>
                <w:b w:val="1"/>
                <w:color w:val="6d9eeb"/>
                <w:rtl w:val="0"/>
              </w:rPr>
              <w:t xml:space="preserve">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Involvement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Week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4.4  Analyze factors that contribute to positive relationships with peers,including;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4.4.1  Peer pressure, assuming responsibility for choices and actions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4.4.2  Appreciating diversity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4.4.3  Changing male/female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 Playing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Involvement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4.3  Examine factors that contribute to positive relationships, including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4.3.1  Communication skills and styles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4.3.2  Conflict prevention and resolution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Skits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 Playing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Involvement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4-6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5.4  Demonstrate skills needed to care for personal and family resources, including;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5.4.1  Reading use/care labels and manuals.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5.4.2  Care, repair, and storage of personal resources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5.4.3  Clothing care, repair, stain removal, laundry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Samples to evaluate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Hands on Labs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Practical Quiz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Written 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Week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7-9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</w:t>
            </w:r>
            <w:r w:rsidDel="00000000" w:rsidR="00000000" w:rsidRPr="00000000">
              <w:rPr>
                <w:rtl w:val="0"/>
              </w:rPr>
              <w:t xml:space="preserve"> FCS-MS 3.3  Demonstrate skills needed for preparing and serving foods, including;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3.3.1  Laboratory/kitchen safety and sanitation practices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3.3.2  Cooking terms, equivalents, abbreviations, measurements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3.3.3  Reading and using recipes.  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Identification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1.1  Analyze factors that impact self-formation, including;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FCS-MS 1.1.6  Behavior, etiquette, and personal appearance in different situations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Practical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1.2  Explore factors that impact personal image and feelings of personal worth including;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1.2.2  Work ethics and time management/prioritization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 solving in a laboratory situation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Practical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  <w:t xml:space="preserve">  12-14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5.2  Accomplish tasks and fulfill responsibilities by using thinking and problem-solving processes including;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 5.2.1  Decision-making, evaluating information, and planning processes  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Hand-outs on decision making process steps.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Solve a problem from a scenario and also one in class.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 problem solving..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15-19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FCS-MS 3.3  Demonstrate skills needed for preparing and serving foods, including;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 3.3.4  Techniques and equipment for preparing and serving food.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FCS-MS  3.3.5  Teamwork in the laboratory setting and hands on activities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demonstration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Laboratory 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 There are so many activities that utilize many of the same standards that it is difficult to separate the learning experiences.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      So many activities at this level show repetition in learning. This way of thinking encourages the decision-making process. </w:t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